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p>
      <w:r/>
      <w:r/>
    </w:p>
    <w:tbl>
      <w:tblPr>
        <w:tblW w:w="0" w:type="auto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tblBorders>
        <w:shd w:val="clear" w:color="auto" w:fill="ffffff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58"/>
        <w:gridCol w:w="1590"/>
        <w:gridCol w:w="1358"/>
      </w:tblGrid>
      <w:tr>
        <w:trPr/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b/>
                <w:bCs/>
                <w:color w:val="151515"/>
                <w:lang w:eastAsia="ru-RU"/>
              </w:rPr>
              <w:t xml:space="preserve">Продукт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b/>
                <w:bCs/>
                <w:color w:val="151515"/>
                <w:lang w:eastAsia="ru-RU"/>
              </w:rPr>
              <w:t xml:space="preserve">Цена со скидкой, руб.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b/>
                <w:bCs/>
                <w:color w:val="151515"/>
                <w:lang w:eastAsia="ru-RU"/>
              </w:rPr>
              <w:t xml:space="preserve">Промокод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ДНК тест Происхождение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р.6 649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PREMIUM1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ДНК тест Полный геном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р.88 911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PREMIUM2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ДНК тест Риски заболеваний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р.7 599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PREMIUM3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ДНК тест Эффективность лекарств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р.7 599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PREMIUM4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ДНК-тест Способности и характер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р.7 599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PREMIUM5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ДНК-тест Питание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р.7 599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PREMIUM6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ДНК-тест Спорт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р.7 599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PREMIUM7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Комплексный ДНК-тест «Планирование беременности»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р.9 907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PREMIUM8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Генеалогия за 100 лет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р.19 665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PREMIUM9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Генеалогия за 200 лет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р.48 300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PREMIUM10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Генеалогия за 200 лет (расширенная)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р.97 635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PREMIUM11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Генеалогия за 300 лет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р.294 734</w:t>
            </w:r>
            <w:r/>
          </w:p>
        </w:tc>
        <w:tc>
          <w:tcPr>
            <w:shd w:val="clear" w:color="auto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PREMIUM12</w:t>
            </w:r>
            <w:r/>
          </w:p>
        </w:tc>
      </w:tr>
      <w:tr>
        <w:trPr>
          <w:trHeight w:val="1227"/>
        </w:trPr>
        <w:tc>
          <w:tcPr>
            <w:shd w:val="clear" w:color="ffffff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Комплексный ДНК-тест «Генетический паспорт»</w:t>
            </w:r>
            <w:r>
              <w:rPr>
                <w:rFonts w:ascii="Segoe UI" w:hAnsi="Segoe UI" w:cs="Segoe UI" w:eastAsia="Times New Roman"/>
                <w:color w:val="151515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Р.8 799</w:t>
            </w:r>
            <w:r>
              <w:rPr>
                <w:rFonts w:ascii="Segoe UI" w:hAnsi="Segoe UI" w:cs="Segoe UI" w:eastAsia="Times New Roman"/>
                <w:color w:val="151515"/>
                <w:lang w:eastAsia="ru-RU"/>
              </w:rPr>
            </w:r>
            <w:r/>
          </w:p>
        </w:tc>
        <w:tc>
          <w:tcPr>
            <w:shd w:val="clear" w:color="ffffff" w:fill="ffffff"/>
            <w:tcBorders>
              <w:top w:val="single" w:color="EFEFEF" w:sz="6" w:space="0"/>
              <w:left w:val="none" w:color="000000" w:sz="4" w:space="0"/>
              <w:bottom w:val="single" w:color="EFEFEF" w:sz="6" w:space="0"/>
              <w:right w:val="none" w:color="000000" w:sz="4" w:space="0"/>
            </w:tcBorders>
            <w:tcMar>
              <w:left w:w="75" w:type="dxa"/>
              <w:top w:w="90" w:type="dxa"/>
              <w:right w:w="75" w:type="dxa"/>
              <w:bottom w:w="90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Segoe UI" w:hAnsi="Segoe UI" w:cs="Segoe UI" w:eastAsia="Times New Roman"/>
                <w:color w:val="151515"/>
                <w:lang w:eastAsia="ru-RU"/>
              </w:rPr>
            </w:pPr>
            <w:r>
              <w:rPr>
                <w:rFonts w:ascii="Segoe UI" w:hAnsi="Segoe UI" w:cs="Segoe UI" w:eastAsia="Times New Roman"/>
                <w:color w:val="151515"/>
                <w:lang w:eastAsia="ru-RU"/>
              </w:rPr>
            </w:r>
            <w:r>
              <w:rPr>
                <w:rFonts w:ascii="Segoe UI" w:hAnsi="Segoe UI" w:cs="Segoe UI" w:eastAsia="Times New Roman"/>
                <w:color w:val="151515"/>
                <w:lang w:eastAsia="ru-RU"/>
              </w:rPr>
              <w:t xml:space="preserve">PREMIUM13</w:t>
            </w:r>
            <w:r>
              <w:rPr>
                <w:rFonts w:ascii="Segoe UI" w:hAnsi="Segoe UI" w:cs="Segoe UI" w:eastAsia="Times New Roman"/>
                <w:color w:val="151515"/>
                <w:lang w:eastAsia="ru-RU"/>
              </w:rPr>
            </w:r>
            <w:r/>
          </w:p>
        </w:tc>
      </w:tr>
    </w:tbl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</cp:revision>
  <dcterms:created xsi:type="dcterms:W3CDTF">2025-10-24T11:57:00Z</dcterms:created>
  <dcterms:modified xsi:type="dcterms:W3CDTF">2025-10-24T12:21:17Z</dcterms:modified>
</cp:coreProperties>
</file>